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Le Guide TYPO3 Publié à l’International</w:t>
      </w:r>
    </w:p>
    <w:p w:rsidR="00000000" w:rsidDel="00000000" w:rsidP="00000000" w:rsidRDefault="00000000" w:rsidRPr="00000000" w14:paraId="00000003">
      <w:pPr>
        <w:pStyle w:val="Subtitle"/>
        <w:rPr>
          <w:rFonts w:ascii="Source Sans Pro" w:cs="Source Sans Pro" w:eastAsia="Source Sans Pro" w:hAnsi="Source Sans Pro"/>
        </w:rPr>
      </w:pPr>
      <w:bookmarkStart w:colFirst="0" w:colLast="0" w:name="_2c92eew6t76v" w:id="1"/>
      <w:bookmarkEnd w:id="1"/>
      <w:r w:rsidDel="00000000" w:rsidR="00000000" w:rsidRPr="00000000">
        <w:rPr>
          <w:rFonts w:ascii="Source Sans Pro" w:cs="Source Sans Pro" w:eastAsia="Source Sans Pro" w:hAnsi="Source Sans Pro"/>
          <w:rtl w:val="0"/>
        </w:rPr>
        <w:t xml:space="preserve">Publié le 20 décembre 2020. Disponible au format papier et ebook.</w:t>
      </w:r>
    </w:p>
    <w:p w:rsidR="00000000" w:rsidDel="00000000" w:rsidP="00000000" w:rsidRDefault="00000000" w:rsidRPr="00000000" w14:paraId="00000004">
      <w:pPr>
        <w:pStyle w:val="Subtitle"/>
        <w:rPr>
          <w:rFonts w:ascii="Source Sans Pro Light" w:cs="Source Sans Pro Light" w:eastAsia="Source Sans Pro Light" w:hAnsi="Source Sans Pro Light"/>
        </w:rPr>
      </w:pPr>
      <w:bookmarkStart w:colFirst="0" w:colLast="0" w:name="_pdo631ev1p14" w:id="2"/>
      <w:bookmarkEnd w:id="2"/>
      <w:r w:rsidDel="00000000" w:rsidR="00000000" w:rsidRPr="00000000">
        <w:rPr>
          <w:rFonts w:ascii="Source Sans Pro Light" w:cs="Source Sans Pro Light" w:eastAsia="Source Sans Pro Light" w:hAnsi="Source Sans Pro Light"/>
          <w:rtl w:val="0"/>
        </w:rPr>
        <w:t xml:space="preserve">L’Association TYPO3 annonce un guide complet à destination des débutants sur  la publication web avec TYPO3 CMS. Publié par l’éditeur Apress basé à New York, ce guide est destiné à pousser l’adoption internationale du système de gestionnaire de contenu d'entreprise open-source.</w:t>
      </w:r>
    </w:p>
    <w:p w:rsidR="00000000" w:rsidDel="00000000" w:rsidP="00000000" w:rsidRDefault="00000000" w:rsidRPr="00000000" w14:paraId="00000005">
      <w:pPr>
        <w:rPr>
          <w:b w:val="1"/>
        </w:rPr>
      </w:pPr>
      <w:r w:rsidDel="00000000" w:rsidR="00000000" w:rsidRPr="00000000">
        <w:rPr>
          <w:b w:val="1"/>
          <w:rtl w:val="0"/>
        </w:rPr>
        <w:t xml:space="preserve">Baar, Suisse, 20 décembre 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TYPO3 bénéficie d’une grande popularité en Europe centrale, propulsant des applications web pour des marques mondiales, des universités et des gouvernements. Ce livre s'adresse aux développeurs et responsables de l’industrie web pour les guider à travers leurs premiers pas dans l’utilisation et la création d’opportunités autour de TYPO3. L’Association TYPO3 a lancé le projet en partenariat avec le spécialiste de la communication open-source Open Strategy Partners.</w:t>
      </w:r>
    </w:p>
    <w:p w:rsidR="00000000" w:rsidDel="00000000" w:rsidP="00000000" w:rsidRDefault="00000000" w:rsidRPr="00000000" w14:paraId="00000008">
      <w:pPr>
        <w:pStyle w:val="Heading2"/>
        <w:rPr/>
      </w:pPr>
      <w:bookmarkStart w:colFirst="0" w:colLast="0" w:name="_7rzcd6ongxrb" w:id="3"/>
      <w:bookmarkEnd w:id="3"/>
      <w:r w:rsidDel="00000000" w:rsidR="00000000" w:rsidRPr="00000000">
        <w:rPr>
          <w:rtl w:val="0"/>
        </w:rPr>
        <w:t xml:space="preserve">Le Guide TYPO3 : Comprendre et utiliser TYPO3 CMS</w:t>
      </w:r>
    </w:p>
    <w:p w:rsidR="00000000" w:rsidDel="00000000" w:rsidP="00000000" w:rsidRDefault="00000000" w:rsidRPr="00000000" w14:paraId="00000009">
      <w:pPr>
        <w:rPr/>
      </w:pPr>
      <w:r w:rsidDel="00000000" w:rsidR="00000000" w:rsidRPr="00000000">
        <w:rPr>
          <w:rtl w:val="0"/>
        </w:rPr>
        <w:t xml:space="preserve">Le guide, de son titre en anglais « </w:t>
      </w:r>
      <w:r w:rsidDel="00000000" w:rsidR="00000000" w:rsidRPr="00000000">
        <w:rPr>
          <w:i w:val="1"/>
          <w:rtl w:val="0"/>
        </w:rPr>
        <w:t xml:space="preserve">The TYPO3 Guidebook: Understand and Use TYPO3 CMS</w:t>
      </w:r>
      <w:r w:rsidDel="00000000" w:rsidR="00000000" w:rsidRPr="00000000">
        <w:rPr>
          <w:rtl w:val="0"/>
        </w:rPr>
        <w:t xml:space="preserve"> », contient tout ce qu’un débutant doit savoir pour démarrer avec TYPO3, incluant une présentation de la communauté, de la documentation, ainsi que les endroits où trouver de l’aide. C’est un point de départ pour les débutants souhaitant apprendre les bonnes pratiques de la publication web ou monter une entreprise de création de sites autour d’un CMS professionnel. L’ouvrage comprend dix cas pratiques complets, avec des exemples de code entièrement testés et basés sur la dernière version de TYPO3 maintenue à long terme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Olivier Dobberkau, Président du Conseil d’administration de l’Association TYPO3</w:t>
      </w:r>
      <w:r w:rsidDel="00000000" w:rsidR="00000000" w:rsidRPr="00000000">
        <w:rPr>
          <w:rtl w:val="0"/>
        </w:rPr>
        <w:t xml:space="preserve">, explique que  : « TYPO3 est un échange auquel tout le monde peut contribuer. Et avec ce Guide, nous introduisons une nouvelle génération à notre communauté open-source.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L’ouvrage est disponible à la commande au format papier et numérique chez la majorité des libraires, incluant Apress, Amazon et Barnes and Noble.</w:t>
      </w:r>
    </w:p>
    <w:p w:rsidR="00000000" w:rsidDel="00000000" w:rsidP="00000000" w:rsidRDefault="00000000" w:rsidRPr="00000000" w14:paraId="0000000E">
      <w:pPr>
        <w:pStyle w:val="Heading2"/>
        <w:rPr/>
      </w:pPr>
      <w:bookmarkStart w:colFirst="0" w:colLast="0" w:name="_4hzq35olqwsk" w:id="4"/>
      <w:bookmarkEnd w:id="4"/>
      <w:r w:rsidDel="00000000" w:rsidR="00000000" w:rsidRPr="00000000">
        <w:rPr>
          <w:rtl w:val="0"/>
        </w:rPr>
        <w:t xml:space="preserve">Une implication de la communauté</w:t>
      </w:r>
    </w:p>
    <w:p w:rsidR="00000000" w:rsidDel="00000000" w:rsidP="00000000" w:rsidRDefault="00000000" w:rsidRPr="00000000" w14:paraId="0000000F">
      <w:pPr>
        <w:rPr/>
      </w:pPr>
      <w:r w:rsidDel="00000000" w:rsidR="00000000" w:rsidRPr="00000000">
        <w:rPr>
          <w:rtl w:val="0"/>
        </w:rPr>
        <w:t xml:space="preserve">Pour créer cette œuvre, les auteurs Felicity Brand, Jeffrey A. McGuire et Heather McNamee ont travaillé en collaboration avec plus de 30 experts venant de la communauté open-source TYPO3.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Felicity Brand, co-autrice</w:t>
      </w:r>
      <w:r w:rsidDel="00000000" w:rsidR="00000000" w:rsidRPr="00000000">
        <w:rPr>
          <w:rtl w:val="0"/>
        </w:rPr>
        <w:t xml:space="preserve">, « Travailler avec les spécialistes de la communauté TYPO3 fut une expérience d’apprentissage fantastique pour moi, » s’enthousiasme Felicity, « en allant au cœur de la façon dont le mouvement open-source prône le partage et </w:t>
      </w:r>
      <w:r w:rsidDel="00000000" w:rsidR="00000000" w:rsidRPr="00000000">
        <w:rPr>
          <w:rtl w:val="0"/>
        </w:rPr>
        <w:t xml:space="preserve">l’</w:t>
      </w:r>
      <w:r w:rsidDel="00000000" w:rsidR="00000000" w:rsidRPr="00000000">
        <w:rPr>
          <w:rtl w:val="0"/>
        </w:rPr>
        <w:t xml:space="preserve">apprentissage.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Heather McNamee, co-autrice</w:t>
      </w:r>
      <w:r w:rsidDel="00000000" w:rsidR="00000000" w:rsidRPr="00000000">
        <w:rPr>
          <w:rtl w:val="0"/>
        </w:rPr>
        <w:t xml:space="preserve">, résume, « La liste des contributeurs inclut des développeurs, des chefs de projet, des concepteurs, et des directeurs d’agence numérique. Ce fut un plaisir et un privilège de concentrer autant de savoir de la communauté dans ce livre.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Jeffrey A. McGuire, co fondateur d’OSP et partenaire</w:t>
      </w:r>
      <w:r w:rsidDel="00000000" w:rsidR="00000000" w:rsidRPr="00000000">
        <w:rPr>
          <w:rtl w:val="0"/>
        </w:rPr>
        <w:t xml:space="preserve">, explique que : « Le Projet TYPO3 a fait de l’excellent travail au fil des ans, et reste très pertinent pour le web d’aujourd’hui et ses entreprises. Son contenu rigoureux et structuré, son cycle de parution fiable, son processus de mise à niveau fluide, et son impressionnante liste d’entreprises utilisatrices le mettent au même niveau que les autres CMS mieux connus dans le monde. Je suis ravi d’aider les gens à faire leurs premiers pas dans ce projet open-source et espère que ce livre servira de carte de visite pour TYPO3.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Olivier Dobberkau, Président du Conseil d’administration de l’Association TYPO3</w:t>
      </w:r>
      <w:r w:rsidDel="00000000" w:rsidR="00000000" w:rsidRPr="00000000">
        <w:rPr>
          <w:rtl w:val="0"/>
        </w:rPr>
        <w:t xml:space="preserve">, ajoute : « Notre communauté est ouverte et chaleureuse ; tout le monde est avide de partager ses expériences. Ce livre est la preuve de l’existence de cette excellente communauté autour de TYPO3 et de ce que nous avons pu concrétiser ensemble. »</w:t>
      </w:r>
      <w:r w:rsidDel="00000000" w:rsidR="00000000" w:rsidRPr="00000000">
        <w:rPr>
          <w:rtl w:val="0"/>
        </w:rPr>
      </w:r>
    </w:p>
    <w:p w:rsidR="00000000" w:rsidDel="00000000" w:rsidP="00000000" w:rsidRDefault="00000000" w:rsidRPr="00000000" w14:paraId="00000018">
      <w:pPr>
        <w:pStyle w:val="Heading2"/>
        <w:rPr/>
      </w:pPr>
      <w:bookmarkStart w:colFirst="0" w:colLast="0" w:name="_gyy90aqnzuf6" w:id="5"/>
      <w:bookmarkEnd w:id="5"/>
      <w:r w:rsidDel="00000000" w:rsidR="00000000" w:rsidRPr="00000000">
        <w:rPr>
          <w:rtl w:val="0"/>
        </w:rPr>
        <w:t xml:space="preserve">À propose de TYPO3 CMS</w:t>
      </w:r>
    </w:p>
    <w:p w:rsidR="00000000" w:rsidDel="00000000" w:rsidP="00000000" w:rsidRDefault="00000000" w:rsidRPr="00000000" w14:paraId="00000019">
      <w:pPr>
        <w:rPr/>
      </w:pPr>
      <w:r w:rsidDel="00000000" w:rsidR="00000000" w:rsidRPr="00000000">
        <w:rPr>
          <w:rtl w:val="0"/>
        </w:rPr>
        <w:t xml:space="preserve">TYPO3 est un CMS open-source écrit en PHP originaire du Danemark à la fin des années 1990. Il est largement adopté en Europe, plus spécialement par les régions germanophones, et gagne de la popularité dans d’autres pays et régions du monde — incluant l’Australie, l’Afrique centrale, l’Inde et les États-Unis. De grandes marques connues, comme </w:t>
      </w:r>
      <w:r w:rsidDel="00000000" w:rsidR="00000000" w:rsidRPr="00000000">
        <w:rPr>
          <w:b w:val="1"/>
          <w:rtl w:val="0"/>
        </w:rPr>
        <w:t xml:space="preserve">TUI</w:t>
      </w:r>
      <w:r w:rsidDel="00000000" w:rsidR="00000000" w:rsidRPr="00000000">
        <w:rPr>
          <w:rtl w:val="0"/>
        </w:rPr>
        <w:t xml:space="preserve">, </w:t>
      </w:r>
      <w:r w:rsidDel="00000000" w:rsidR="00000000" w:rsidRPr="00000000">
        <w:rPr>
          <w:b w:val="1"/>
          <w:rtl w:val="0"/>
        </w:rPr>
        <w:t xml:space="preserve">Pearson</w:t>
      </w:r>
      <w:r w:rsidDel="00000000" w:rsidR="00000000" w:rsidRPr="00000000">
        <w:rPr>
          <w:rtl w:val="0"/>
        </w:rPr>
        <w:t xml:space="preserve">, </w:t>
      </w:r>
      <w:r w:rsidDel="00000000" w:rsidR="00000000" w:rsidRPr="00000000">
        <w:rPr>
          <w:b w:val="1"/>
          <w:rtl w:val="0"/>
        </w:rPr>
        <w:t xml:space="preserve">Sony</w:t>
      </w:r>
      <w:r w:rsidDel="00000000" w:rsidR="00000000" w:rsidRPr="00000000">
        <w:rPr>
          <w:rtl w:val="0"/>
        </w:rPr>
        <w:t xml:space="preserve">, et </w:t>
      </w:r>
      <w:r w:rsidDel="00000000" w:rsidR="00000000" w:rsidRPr="00000000">
        <w:rPr>
          <w:b w:val="1"/>
          <w:rtl w:val="0"/>
        </w:rPr>
        <w:t xml:space="preserve">Sixt</w:t>
      </w:r>
      <w:r w:rsidDel="00000000" w:rsidR="00000000" w:rsidRPr="00000000">
        <w:rPr>
          <w:rtl w:val="0"/>
        </w:rPr>
        <w:t xml:space="preserve">, utilisent TYPO3. Le CMS est aussi adapté aux gouvernements, secteur public et à l’éducation supérieure.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Fonctionnalités marquantes incluses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Une interface de contribution intuitive avec du contenu organisé sous forme arborescente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Blocs de contenus personnalisables, guidant les contributeurs dans la création d’un contenu structuré pour tout format</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Normes et API ouvertes pour une intégration harmonieuse avec des logiciels tiers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Performance et flexibilité pour des applications professionnelles d’entreprise</w:t>
      </w:r>
    </w:p>
    <w:p w:rsidR="00000000" w:rsidDel="00000000" w:rsidP="00000000" w:rsidRDefault="00000000" w:rsidRPr="00000000" w14:paraId="00000021">
      <w:pPr>
        <w:pStyle w:val="Heading2"/>
        <w:rPr/>
      </w:pPr>
      <w:bookmarkStart w:colFirst="0" w:colLast="0" w:name="_pxwcvriati7a" w:id="6"/>
      <w:bookmarkEnd w:id="6"/>
      <w:r w:rsidDel="00000000" w:rsidR="00000000" w:rsidRPr="00000000">
        <w:rPr>
          <w:rtl w:val="0"/>
        </w:rPr>
        <w:t xml:space="preserve">À propos d’Open Strategy Partners et des Auteurs</w:t>
      </w:r>
    </w:p>
    <w:p w:rsidR="00000000" w:rsidDel="00000000" w:rsidP="00000000" w:rsidRDefault="00000000" w:rsidRPr="00000000" w14:paraId="00000022">
      <w:pPr>
        <w:rPr/>
      </w:pPr>
      <w:r w:rsidDel="00000000" w:rsidR="00000000" w:rsidRPr="00000000">
        <w:rPr>
          <w:b w:val="1"/>
          <w:rtl w:val="0"/>
        </w:rPr>
        <w:t xml:space="preserve">Open Strategy Partners (OSP)</w:t>
      </w:r>
      <w:r w:rsidDel="00000000" w:rsidR="00000000" w:rsidRPr="00000000">
        <w:rPr>
          <w:rtl w:val="0"/>
        </w:rPr>
        <w:t xml:space="preserve"> relate les histoires qui connectent les technologies de ses clients avec les valeurs qu’elles portent. Ils fournissent  stratégie, marketing et communication pour des sociétés technologiques, avec une mise en avant sur l’open-source. </w:t>
      </w:r>
      <w:r w:rsidDel="00000000" w:rsidR="00000000" w:rsidRPr="00000000">
        <w:rPr>
          <w:b w:val="1"/>
          <w:rtl w:val="0"/>
        </w:rPr>
        <w:t xml:space="preserve">Felicity Brand</w:t>
      </w:r>
      <w:r w:rsidDel="00000000" w:rsidR="00000000" w:rsidRPr="00000000">
        <w:rPr>
          <w:rtl w:val="0"/>
        </w:rPr>
        <w:t xml:space="preserve"> vit et travaille à Melbourne, Australie. Elle est une écrivaine professionnelle de contenu technique — de l’aide en ligne aux manuels, notes de publication, séminaires en ligne internes de formation à un produit, aux contenus webs et livres blancs. </w:t>
      </w:r>
      <w:r w:rsidDel="00000000" w:rsidR="00000000" w:rsidRPr="00000000">
        <w:rPr>
          <w:b w:val="1"/>
          <w:rtl w:val="0"/>
        </w:rPr>
        <w:t xml:space="preserve">Heather McNamee</w:t>
      </w:r>
      <w:r w:rsidDel="00000000" w:rsidR="00000000" w:rsidRPr="00000000">
        <w:rPr>
          <w:rtl w:val="0"/>
        </w:rPr>
        <w:t xml:space="preserve"> est une spécialiste des communications techniques, détentrice d’un MSc. en Apprentissage et Technologie qui permet à l’audience cible de trouver, découvrir et obtenir le meilleur des produits qu’ils aiment. </w:t>
      </w:r>
      <w:r w:rsidDel="00000000" w:rsidR="00000000" w:rsidRPr="00000000">
        <w:rPr>
          <w:b w:val="1"/>
          <w:rtl w:val="0"/>
        </w:rPr>
        <w:t xml:space="preserve">Jeffrey A. “jam” McGuire</w:t>
      </w:r>
      <w:r w:rsidDel="00000000" w:rsidR="00000000" w:rsidRPr="00000000">
        <w:rPr>
          <w:rtl w:val="0"/>
        </w:rPr>
        <w:t xml:space="preserve"> est partenaire et fondateur à Open Strategy Partners. Il tire partie de plus d’une douzaine d’années d’expérience et d’un fort entrain à la croisée du logiciel open-source, des affaires et de la culture.</w:t>
      </w:r>
    </w:p>
    <w:p w:rsidR="00000000" w:rsidDel="00000000" w:rsidP="00000000" w:rsidRDefault="00000000" w:rsidRPr="00000000" w14:paraId="00000023">
      <w:pPr>
        <w:pStyle w:val="Heading2"/>
        <w:rPr/>
      </w:pPr>
      <w:bookmarkStart w:colFirst="0" w:colLast="0" w:name="_zcn2ct6yvzuf" w:id="7"/>
      <w:bookmarkEnd w:id="7"/>
      <w:r w:rsidDel="00000000" w:rsidR="00000000" w:rsidRPr="00000000">
        <w:rPr>
          <w:rtl w:val="0"/>
        </w:rPr>
        <w:t xml:space="preserve">À propos de l’Association TYPO3 et de TYPO3 GmbH</w:t>
      </w:r>
    </w:p>
    <w:p w:rsidR="00000000" w:rsidDel="00000000" w:rsidP="00000000" w:rsidRDefault="00000000" w:rsidRPr="00000000" w14:paraId="00000024">
      <w:pPr>
        <w:rPr/>
      </w:pPr>
      <w:r w:rsidDel="00000000" w:rsidR="00000000" w:rsidRPr="00000000">
        <w:rPr>
          <w:b w:val="1"/>
          <w:rtl w:val="0"/>
        </w:rPr>
        <w:t xml:space="preserve">L’Association TYPO3</w:t>
      </w:r>
      <w:r w:rsidDel="00000000" w:rsidR="00000000" w:rsidRPr="00000000">
        <w:rPr>
          <w:rtl w:val="0"/>
        </w:rPr>
        <w:t xml:space="preserve"> coordonne et finance le développement à long terme de TYPO3 CMS et est propriétaire de la marque TYPO3. Elle est une organisation à but non lucratif mettant gratuitement des logiciels à disposition du public. L’Association TYPO3 est une association de droit Suisse fondée par les membres de Communauté TYPO3 en novembre 2004. Son siège social est à Baar ZG, Suisse. L’association est apolitique et non liée à un courant religieux. Les informations concernant ses membres, ses objectifs, et les opportunités de financement sont disponibles sur </w:t>
      </w:r>
      <w:hyperlink r:id="rId6">
        <w:r w:rsidDel="00000000" w:rsidR="00000000" w:rsidRPr="00000000">
          <w:rPr>
            <w:u w:val="single"/>
            <w:rtl w:val="0"/>
          </w:rPr>
          <w:t xml:space="preserve">typo3.org/project/association/</w:t>
        </w:r>
      </w:hyperlink>
      <w:r w:rsidDel="00000000" w:rsidR="00000000" w:rsidRPr="00000000">
        <w:rPr>
          <w:rtl w:val="0"/>
        </w:rPr>
        <w:t xml:space="preserve"> (en anglais).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TYPO3 GmbH</w:t>
      </w:r>
      <w:r w:rsidDel="00000000" w:rsidR="00000000" w:rsidRPr="00000000">
        <w:rPr>
          <w:rtl w:val="0"/>
        </w:rPr>
        <w:t xml:space="preserve"> est une société de service créée par l’Association TYPO3 dans le but de fournir des services d’assistance et d’assurrer le développement du logiciel TYPO3 CMS. Plus d'informations à propos de la société TYPO3, appelée aussi TYPO3 Company, à l’adresse </w:t>
      </w:r>
      <w:hyperlink r:id="rId7">
        <w:r w:rsidDel="00000000" w:rsidR="00000000" w:rsidRPr="00000000">
          <w:rPr>
            <w:u w:val="single"/>
            <w:rtl w:val="0"/>
          </w:rPr>
          <w:t xml:space="preserve">typo3.com</w:t>
        </w:r>
      </w:hyperlink>
      <w:r w:rsidDel="00000000" w:rsidR="00000000" w:rsidRPr="00000000">
        <w:rPr>
          <w:rtl w:val="0"/>
        </w:rPr>
        <w:t xml:space="preserve"> (en anglais). </w:t>
      </w:r>
    </w:p>
    <w:p w:rsidR="00000000" w:rsidDel="00000000" w:rsidP="00000000" w:rsidRDefault="00000000" w:rsidRPr="00000000" w14:paraId="00000027">
      <w:pPr>
        <w:pStyle w:val="Heading2"/>
        <w:rPr/>
      </w:pPr>
      <w:bookmarkStart w:colFirst="0" w:colLast="0" w:name="_cfb864te27co" w:id="8"/>
      <w:bookmarkEnd w:id="8"/>
      <w:r w:rsidDel="00000000" w:rsidR="00000000" w:rsidRPr="00000000">
        <w:rPr>
          <w:rtl w:val="0"/>
        </w:rPr>
        <w:t xml:space="preserve">À propos d’Apress</w:t>
      </w:r>
    </w:p>
    <w:p w:rsidR="00000000" w:rsidDel="00000000" w:rsidP="00000000" w:rsidRDefault="00000000" w:rsidRPr="00000000" w14:paraId="00000028">
      <w:pPr>
        <w:rPr/>
      </w:pPr>
      <w:r w:rsidDel="00000000" w:rsidR="00000000" w:rsidRPr="00000000">
        <w:rPr>
          <w:rtl w:val="0"/>
        </w:rPr>
        <w:t xml:space="preserve">Basé à New York, Apress est un éditeur dédié aux besoins d’information des professionnels de l’IT, des développeurs et passionnés de technologie dans le monde. C’est une filiale de Springer Publishing.</w:t>
      </w:r>
      <w:r w:rsidDel="00000000" w:rsidR="00000000" w:rsidRPr="00000000">
        <w:rPr>
          <w:rtl w:val="0"/>
        </w:rPr>
      </w:r>
    </w:p>
    <w:p w:rsidR="00000000" w:rsidDel="00000000" w:rsidP="00000000" w:rsidRDefault="00000000" w:rsidRPr="00000000" w14:paraId="00000029">
      <w:pPr>
        <w:pStyle w:val="Heading2"/>
        <w:rPr/>
      </w:pPr>
      <w:bookmarkStart w:colFirst="0" w:colLast="0" w:name="_91ew4nq292lo" w:id="9"/>
      <w:bookmarkEnd w:id="9"/>
      <w:r w:rsidDel="00000000" w:rsidR="00000000" w:rsidRPr="00000000">
        <w:rPr>
          <w:rtl w:val="0"/>
        </w:rPr>
        <w:t xml:space="preserve">Informations de contact</w:t>
      </w:r>
    </w:p>
    <w:p w:rsidR="00000000" w:rsidDel="00000000" w:rsidP="00000000" w:rsidRDefault="00000000" w:rsidRPr="00000000" w14:paraId="0000002A">
      <w:pPr>
        <w:pStyle w:val="Heading3"/>
        <w:rPr/>
      </w:pPr>
      <w:bookmarkStart w:colFirst="0" w:colLast="0" w:name="_3wi951mju7bm" w:id="10"/>
      <w:bookmarkEnd w:id="10"/>
      <w:r w:rsidDel="00000000" w:rsidR="00000000" w:rsidRPr="00000000">
        <w:rPr>
          <w:rtl w:val="0"/>
        </w:rPr>
        <w:t xml:space="preserve">Relations presse et demande d’exemplaire</w:t>
      </w:r>
    </w:p>
    <w:p w:rsidR="00000000" w:rsidDel="00000000" w:rsidP="00000000" w:rsidRDefault="00000000" w:rsidRPr="00000000" w14:paraId="0000002B">
      <w:pPr>
        <w:rPr/>
      </w:pPr>
      <w:r w:rsidDel="00000000" w:rsidR="00000000" w:rsidRPr="00000000">
        <w:rPr>
          <w:rtl w:val="0"/>
        </w:rPr>
        <w:t xml:space="preserve">Pour les questions ou pour demander un exemplaire d’évaluation, contactez Apress.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Liz Arcury</w:t>
      </w:r>
    </w:p>
    <w:p w:rsidR="00000000" w:rsidDel="00000000" w:rsidP="00000000" w:rsidRDefault="00000000" w:rsidRPr="00000000" w14:paraId="0000002E">
      <w:pPr>
        <w:rPr/>
      </w:pPr>
      <w:r w:rsidDel="00000000" w:rsidR="00000000" w:rsidRPr="00000000">
        <w:rPr>
          <w:rtl w:val="0"/>
        </w:rPr>
        <w:t xml:space="preserve">liz.arcury@apress.com</w:t>
      </w:r>
    </w:p>
    <w:p w:rsidR="00000000" w:rsidDel="00000000" w:rsidP="00000000" w:rsidRDefault="00000000" w:rsidRPr="00000000" w14:paraId="0000002F">
      <w:pPr>
        <w:pStyle w:val="Heading3"/>
        <w:rPr/>
      </w:pPr>
      <w:bookmarkStart w:colFirst="0" w:colLast="0" w:name="_8fsq5sce2sc" w:id="11"/>
      <w:bookmarkEnd w:id="11"/>
      <w:r w:rsidDel="00000000" w:rsidR="00000000" w:rsidRPr="00000000">
        <w:rPr>
          <w:rtl w:val="0"/>
        </w:rPr>
        <w:t xml:space="preserve">Demandes d’entretien</w:t>
      </w:r>
    </w:p>
    <w:p w:rsidR="00000000" w:rsidDel="00000000" w:rsidP="00000000" w:rsidRDefault="00000000" w:rsidRPr="00000000" w14:paraId="00000030">
      <w:pPr>
        <w:rPr/>
      </w:pPr>
      <w:r w:rsidDel="00000000" w:rsidR="00000000" w:rsidRPr="00000000">
        <w:rPr>
          <w:rtl w:val="0"/>
        </w:rPr>
        <w:t xml:space="preserve">Pour les demandes d’entretien, contactez Open Strategy Partners.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press@openstrategypartners.com</w:t>
      </w:r>
    </w:p>
    <w:p w:rsidR="00000000" w:rsidDel="00000000" w:rsidP="00000000" w:rsidRDefault="00000000" w:rsidRPr="00000000" w14:paraId="00000033">
      <w:pPr>
        <w:pStyle w:val="Heading3"/>
        <w:rPr/>
      </w:pPr>
      <w:bookmarkStart w:colFirst="0" w:colLast="0" w:name="_fdw3gddrbxlk" w:id="12"/>
      <w:bookmarkEnd w:id="12"/>
      <w:r w:rsidDel="00000000" w:rsidR="00000000" w:rsidRPr="00000000">
        <w:rPr>
          <w:rtl w:val="0"/>
        </w:rPr>
        <w:t xml:space="preserve">Questions à propos de TYPO3</w:t>
      </w:r>
    </w:p>
    <w:p w:rsidR="00000000" w:rsidDel="00000000" w:rsidP="00000000" w:rsidRDefault="00000000" w:rsidRPr="00000000" w14:paraId="00000034">
      <w:pPr>
        <w:rPr/>
      </w:pPr>
      <w:r w:rsidDel="00000000" w:rsidR="00000000" w:rsidRPr="00000000">
        <w:rPr>
          <w:rtl w:val="0"/>
        </w:rPr>
        <w:t xml:space="preserve">Rapprochez-vous de TYPO3 GmbH pour les questions sur TYPO3 CMS.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Marco Tiel</w:t>
      </w:r>
    </w:p>
    <w:p w:rsidR="00000000" w:rsidDel="00000000" w:rsidP="00000000" w:rsidRDefault="00000000" w:rsidRPr="00000000" w14:paraId="00000037">
      <w:pPr>
        <w:rPr/>
      </w:pPr>
      <w:r w:rsidDel="00000000" w:rsidR="00000000" w:rsidRPr="00000000">
        <w:rPr>
          <w:rtl w:val="0"/>
        </w:rPr>
        <w:t xml:space="preserve">Téléphone </w:t>
      </w:r>
      <w:r w:rsidDel="00000000" w:rsidR="00000000" w:rsidRPr="00000000">
        <w:rPr>
          <w:rtl w:val="0"/>
        </w:rPr>
        <w:t xml:space="preserve">: +49 211 205436-46</w:t>
      </w:r>
    </w:p>
    <w:p w:rsidR="00000000" w:rsidDel="00000000" w:rsidP="00000000" w:rsidRDefault="00000000" w:rsidRPr="00000000" w14:paraId="00000038">
      <w:pPr>
        <w:rPr/>
      </w:pPr>
      <w:r w:rsidDel="00000000" w:rsidR="00000000" w:rsidRPr="00000000">
        <w:rPr>
          <w:rtl w:val="0"/>
        </w:rPr>
        <w:t xml:space="preserve">Email : press@typo3.com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D">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E">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F">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0">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1">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42">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9">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A">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4B">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C">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D">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4E">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44">
    <w:pPr>
      <w:widowControl w:val="0"/>
      <w:spacing w:line="240" w:lineRule="auto"/>
      <w:jc w:val="left"/>
      <w:rPr/>
    </w:pPr>
    <w:r w:rsidDel="00000000" w:rsidR="00000000" w:rsidRPr="00000000">
      <w:rPr>
        <w:rtl w:val="0"/>
      </w:rPr>
    </w:r>
  </w:p>
  <w:p w:rsidR="00000000" w:rsidDel="00000000" w:rsidP="00000000" w:rsidRDefault="00000000" w:rsidRPr="00000000" w14:paraId="00000045">
    <w:pPr>
      <w:widowControl w:val="0"/>
      <w:spacing w:line="240" w:lineRule="auto"/>
      <w:jc w:val="left"/>
      <w:rPr/>
    </w:pPr>
    <w:r w:rsidDel="00000000" w:rsidR="00000000" w:rsidRPr="00000000">
      <w:rPr>
        <w:rtl w:val="0"/>
      </w:rPr>
    </w:r>
  </w:p>
  <w:p w:rsidR="00000000" w:rsidDel="00000000" w:rsidP="00000000" w:rsidRDefault="00000000" w:rsidRPr="00000000" w14:paraId="00000046">
    <w:pPr>
      <w:widowControl w:val="0"/>
      <w:spacing w:line="240" w:lineRule="auto"/>
      <w:jc w:val="left"/>
      <w:rPr/>
    </w:pPr>
    <w:r w:rsidDel="00000000" w:rsidR="00000000" w:rsidRPr="00000000">
      <w:rPr>
        <w:rtl w:val="0"/>
      </w:rPr>
    </w:r>
  </w:p>
  <w:p w:rsidR="00000000" w:rsidDel="00000000" w:rsidP="00000000" w:rsidRDefault="00000000" w:rsidRPr="00000000" w14:paraId="00000047">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ypo3.org/project/association/" TargetMode="External"/><Relationship Id="rId7" Type="http://schemas.openxmlformats.org/officeDocument/2006/relationships/hyperlink" Target="https://typo3.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