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Share" w:cs="Share" w:eastAsia="Share" w:hAnsi="Share"/>
        </w:rPr>
      </w:pPr>
      <w:bookmarkStart w:colFirst="0" w:colLast="0" w:name="_jumyxxu8vx1h" w:id="0"/>
      <w:bookmarkEnd w:id="0"/>
      <w:r w:rsidDel="00000000" w:rsidR="00000000" w:rsidRPr="00000000">
        <w:rPr>
          <w:rFonts w:ascii="Share" w:cs="Share" w:eastAsia="Share" w:hAnsi="Share"/>
          <w:rtl w:val="0"/>
        </w:rPr>
        <w:t xml:space="preserve">Nueva versión del CMS TYPO3 v9 LTS publicada. Incluye adaptación a GDPR y mejoras en la gestión Multi-sitio.</w:t>
      </w:r>
    </w:p>
    <w:p w:rsidR="00000000" w:rsidDel="00000000" w:rsidP="00000000" w:rsidRDefault="00000000" w:rsidRPr="00000000" w14:paraId="00000001">
      <w:pPr>
        <w:pStyle w:val="Subtitle"/>
        <w:contextualSpacing w:val="0"/>
        <w:rPr>
          <w:rFonts w:ascii="Share" w:cs="Share" w:eastAsia="Share" w:hAnsi="Share"/>
        </w:rPr>
      </w:pPr>
      <w:bookmarkStart w:colFirst="0" w:colLast="0" w:name="_xqil2uol41p2" w:id="1"/>
      <w:bookmarkEnd w:id="1"/>
      <w:r w:rsidDel="00000000" w:rsidR="00000000" w:rsidRPr="00000000">
        <w:rPr>
          <w:rFonts w:ascii="Share" w:cs="Share" w:eastAsia="Share" w:hAnsi="Share"/>
          <w:rtl w:val="0"/>
        </w:rPr>
        <w:t xml:space="preserve">La comunidad TYPO3 ha lanzado una nueva versión con soporte a largo plazo del sistema de gestión de contenidos TYPO3, la plataforma de publicación web basada en PHP ampliamente usada por empresas de todo el mundo. La nueva versión tendrá soporte durante seis años.</w:t>
      </w:r>
    </w:p>
    <w:p w:rsidR="00000000" w:rsidDel="00000000" w:rsidP="00000000" w:rsidRDefault="00000000" w:rsidRPr="00000000" w14:paraId="00000002">
      <w:pPr>
        <w:contextualSpacing w:val="0"/>
        <w:rPr>
          <w:i w:val="1"/>
        </w:rPr>
      </w:pPr>
      <w:r w:rsidDel="00000000" w:rsidR="00000000" w:rsidRPr="00000000">
        <w:rPr>
          <w:i w:val="1"/>
          <w:rtl w:val="0"/>
        </w:rPr>
        <w:t xml:space="preserve">Baar, Suiza, 2 de Octubre de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“La versión 9 LTS es una prueba más del continuo enfoque de TYPO3 en la creación de una plataforma de publicación web empresarial de código abierto, escalable y fiable", dice Olivier Dobberkau, presidente de la Asociación TYPO3. "Como es habitual, este y todos los sprints anteriores salieron a tiempo."</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“Nunca ha habido un mejor momento para considerar TYPO3 para su próximo proyecto web”, dice Mathias Schreiber, CEO de la empresa de servicios TYPO3. "Nuestros partners ofrecen un CMS a la vanguardia en tecnologías de desarrollo".</w:t>
      </w:r>
    </w:p>
    <w:p w:rsidR="00000000" w:rsidDel="00000000" w:rsidP="00000000" w:rsidRDefault="00000000" w:rsidRPr="00000000" w14:paraId="00000007">
      <w:pPr>
        <w:pStyle w:val="Heading2"/>
        <w:contextualSpacing w:val="0"/>
        <w:rPr>
          <w:rFonts w:ascii="Share" w:cs="Share" w:eastAsia="Share" w:hAnsi="Share"/>
        </w:rPr>
      </w:pPr>
      <w:bookmarkStart w:colFirst="0" w:colLast="0" w:name="_5l9vnc38nb9x" w:id="2"/>
      <w:bookmarkEnd w:id="2"/>
      <w:r w:rsidDel="00000000" w:rsidR="00000000" w:rsidRPr="00000000">
        <w:rPr>
          <w:rtl w:val="0"/>
        </w:rPr>
        <w:t xml:space="preserve">Seguridad y privacidad de usuarios simplificada</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La nueva versión incluye más de 100 funcionalidades que hacen la gestión de un sitio web moderno más fácil y segura. Incluye funcionalidades para ayudar con el cumplimiento de RGPD: TYPO3 ahora soporta el anonimato de direcciones IP y películas de YouTube sin cookies, así como la posibilidad de eliminar automáticamente a los usuarios inactivos, todo ello out of the box, sin extensiones adicionales.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En TYPO3, la seguridad es siempre un asunto prioritario por lo que todas las contraseñas se cifran mediante datos criptográficos aleatorios – salts – y los algoritmos más robustos adoptados por la industria, como Argon2i y PBKDF2.</w:t>
      </w:r>
    </w:p>
    <w:p w:rsidR="00000000" w:rsidDel="00000000" w:rsidP="00000000" w:rsidRDefault="00000000" w:rsidRPr="00000000" w14:paraId="0000000B">
      <w:pPr>
        <w:pStyle w:val="Heading2"/>
        <w:contextualSpacing w:val="0"/>
        <w:rPr/>
      </w:pPr>
      <w:bookmarkStart w:colFirst="0" w:colLast="0" w:name="_jwk38e5dbt2t" w:id="3"/>
      <w:bookmarkEnd w:id="3"/>
      <w:r w:rsidDel="00000000" w:rsidR="00000000" w:rsidRPr="00000000">
        <w:rPr>
          <w:rtl w:val="0"/>
        </w:rPr>
        <w:t xml:space="preserve">SEO, Multisitio y Desarrollo</w:t>
      </w:r>
    </w:p>
    <w:p w:rsidR="00000000" w:rsidDel="00000000" w:rsidP="00000000" w:rsidRDefault="00000000" w:rsidRPr="00000000" w14:paraId="0000000C">
      <w:pPr>
        <w:contextualSpacing w:val="0"/>
        <w:rPr/>
      </w:pPr>
      <w:r w:rsidDel="00000000" w:rsidR="00000000" w:rsidRPr="00000000">
        <w:rPr>
          <w:rtl w:val="0"/>
        </w:rPr>
        <w:t xml:space="preserve">Se han habilitado por defecto numerosas funcionalidades basadas en buenas prácticas SEO. La gestión de URLs amigables para motores de búsqueda es ahora parte del core, totalmente integrada y con una sencilla interfaz de usuario. TYPO3 agradece a las universidades de Rostock, Basilea, Viena, Hohenheim y Wuppertal, a la Hochschule Osnabrück y a la Universidad Técnica de Munich el patrocinio de gran parte del esfuerzo de desarrollo.</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TYPO3 siempre ha permitido la gestión de múltiples sitios en una sola instalación. La forma de gestionar los sitios se ha reescrito y mejorado para ahorrar tiempo a los administradores de sitios web.</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Los desarrolladores verán que iniciar nuevos proyectos es más rápido, ya que TYPO3 ahora soporta SQLite, una solución de base de datos popular, ligera y basada en ficheros, soportada de forma nativa en PHP. Esto se añade a MySQL, MariaDB, MSSQL, y PostgreSQL, soportadas desde hace tiempo de forma nativa.</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Esta versión es imbatible en facilidad de actualización. Un nuevo escáner de extensiones identifica los cambios y depreciaciones en el código a medida, y sugerirá documentación y una secuencia de migración.</w:t>
      </w:r>
    </w:p>
    <w:p w:rsidR="00000000" w:rsidDel="00000000" w:rsidP="00000000" w:rsidRDefault="00000000" w:rsidRPr="00000000" w14:paraId="00000013">
      <w:pPr>
        <w:pStyle w:val="Heading2"/>
        <w:contextualSpacing w:val="0"/>
        <w:rPr/>
      </w:pPr>
      <w:bookmarkStart w:colFirst="0" w:colLast="0" w:name="_80et7f6eqalv" w:id="4"/>
      <w:bookmarkEnd w:id="4"/>
      <w:r w:rsidDel="00000000" w:rsidR="00000000" w:rsidRPr="00000000">
        <w:rPr>
          <w:rtl w:val="0"/>
        </w:rPr>
        <w:t xml:space="preserve">Sobre TYPO3</w:t>
      </w:r>
    </w:p>
    <w:p w:rsidR="00000000" w:rsidDel="00000000" w:rsidP="00000000" w:rsidRDefault="00000000" w:rsidRPr="00000000" w14:paraId="00000014">
      <w:pPr>
        <w:contextualSpacing w:val="0"/>
        <w:rPr/>
      </w:pPr>
      <w:r w:rsidDel="00000000" w:rsidR="00000000" w:rsidRPr="00000000">
        <w:rPr>
          <w:rtl w:val="0"/>
        </w:rPr>
        <w:t xml:space="preserve">Puedes descargar TYPO3 y encontrar más información en </w:t>
      </w:r>
      <w:hyperlink r:id="rId6">
        <w:r w:rsidDel="00000000" w:rsidR="00000000" w:rsidRPr="00000000">
          <w:rPr>
            <w:color w:val="1155cc"/>
            <w:u w:val="single"/>
            <w:rtl w:val="0"/>
          </w:rPr>
          <w:t xml:space="preserve">typo3.org</w:t>
        </w:r>
      </w:hyperlink>
      <w:r w:rsidDel="00000000" w:rsidR="00000000" w:rsidRPr="00000000">
        <w:rPr>
          <w:rtl w:val="0"/>
        </w:rPr>
        <w:t xml:space="preserve">. Para servicios relacionados con TYPO3, visite la lista de partners asociados de la compañía TYPO3 GmbH en </w:t>
      </w:r>
      <w:hyperlink r:id="rId7">
        <w:r w:rsidDel="00000000" w:rsidR="00000000" w:rsidRPr="00000000">
          <w:rPr>
            <w:color w:val="1155cc"/>
            <w:u w:val="single"/>
            <w:rtl w:val="0"/>
          </w:rPr>
          <w:t xml:space="preserve">typo3.com</w:t>
        </w:r>
      </w:hyperlink>
      <w:r w:rsidDel="00000000" w:rsidR="00000000" w:rsidRPr="00000000">
        <w:rPr>
          <w:rtl w:val="0"/>
        </w:rPr>
        <w:t xml:space="preserve">, donde también puede contratar soporte extendido a largo plazo (ELTS) para versiones anteriores de TYPO3 LTS.</w:t>
      </w:r>
    </w:p>
    <w:p w:rsidR="00000000" w:rsidDel="00000000" w:rsidP="00000000" w:rsidRDefault="00000000" w:rsidRPr="00000000" w14:paraId="00000015">
      <w:pPr>
        <w:pStyle w:val="Heading2"/>
        <w:contextualSpacing w:val="0"/>
        <w:rPr>
          <w:b w:val="1"/>
        </w:rPr>
      </w:pPr>
      <w:bookmarkStart w:colFirst="0" w:colLast="0" w:name="_a3cppynwow8p" w:id="5"/>
      <w:bookmarkEnd w:id="5"/>
      <w:r w:rsidDel="00000000" w:rsidR="00000000" w:rsidRPr="00000000">
        <w:rPr>
          <w:rtl w:val="0"/>
        </w:rPr>
        <w:t xml:space="preserve">Sobre la Asociación TYPO3 y la compañía TYPO3 GmbH</w:t>
      </w: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La Asociación TYPO3</w:t>
      </w:r>
      <w:r w:rsidDel="00000000" w:rsidR="00000000" w:rsidRPr="00000000">
        <w:rPr>
          <w:rtl w:val="0"/>
        </w:rPr>
        <w:t xml:space="preserve"> coordina y financia el desarrollo a largo plazo del CMS TYPO3. Es una organización sin ánimo de lucro que proporciona software al público de forma gratuita. La Asociación TYPO3 es una asociación bajo jurisdicción suiza, fundada por los miembros de la Comunidad TYPO3 en noviembre de 2004. Tiene su sede en Baar ZG, Suiza. La Asociación TYPO3 es totalmente neutral desde el punto de vista político y religioso. Para obtener más información sobre los miembros de la asociación, sus objetivos y las oportunidades de financiación, visite: </w:t>
      </w:r>
      <w:hyperlink r:id="rId8">
        <w:r w:rsidDel="00000000" w:rsidR="00000000" w:rsidRPr="00000000">
          <w:rPr>
            <w:color w:val="1155cc"/>
            <w:u w:val="single"/>
            <w:rtl w:val="0"/>
          </w:rPr>
          <w:t xml:space="preserve">https://typo3.org/project/association/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TYPO3 GmbH</w:t>
      </w:r>
      <w:r w:rsidDel="00000000" w:rsidR="00000000" w:rsidRPr="00000000">
        <w:rPr>
          <w:rtl w:val="0"/>
        </w:rPr>
        <w:t xml:space="preserve"> es una compañía de servicios creada por la Asociación TYPO3 para proporcionar servicios de soporte y asumir el desarrollo del software TYPO3 CMS. Puede encontrar más información sobre la compañía TYPO3 en </w:t>
      </w:r>
      <w:hyperlink r:id="rId9">
        <w:r w:rsidDel="00000000" w:rsidR="00000000" w:rsidRPr="00000000">
          <w:rPr>
            <w:color w:val="1155cc"/>
            <w:u w:val="single"/>
            <w:rtl w:val="0"/>
          </w:rPr>
          <w:t xml:space="preserve">https://typo3.com</w:t>
        </w:r>
      </w:hyperlink>
      <w:r w:rsidDel="00000000" w:rsidR="00000000" w:rsidRPr="00000000">
        <w:rPr>
          <w:rtl w:val="0"/>
        </w:rPr>
        <w:t xml:space="preserve">.</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Press Contact:</w:t>
      </w:r>
    </w:p>
    <w:p w:rsidR="00000000" w:rsidDel="00000000" w:rsidP="00000000" w:rsidRDefault="00000000" w:rsidRPr="00000000" w14:paraId="0000001C">
      <w:pPr>
        <w:contextualSpacing w:val="0"/>
        <w:rPr/>
      </w:pPr>
      <w:hyperlink r:id="rId10">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(0)211 20 54 36 0</w:t>
      </w: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9">
          <w:pPr>
            <w:widowControl w:val="0"/>
            <w:spacing w:line="240" w:lineRule="auto"/>
            <w:contextualSpacing w:val="0"/>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2A">
          <w:pPr>
            <w:widowControl w:val="0"/>
            <w:spacing w:line="240" w:lineRule="auto"/>
            <w:contextualSpacing w:val="0"/>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C">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E">
          <w:pPr>
            <w:widowControl w:val="0"/>
            <w:spacing w:line="240" w:lineRule="auto"/>
            <w:contextualSpacing w:val="0"/>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2F">
          <w:pPr>
            <w:widowControl w:val="0"/>
            <w:spacing w:line="240" w:lineRule="auto"/>
            <w:contextualSpacing w:val="0"/>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F">
          <w:pPr>
            <w:contextualSpacing w:val="0"/>
            <w:rPr/>
          </w:pPr>
          <w:r w:rsidDel="00000000" w:rsidR="00000000" w:rsidRPr="00000000">
            <w:rPr/>
            <w:drawing>
              <wp:inline distB="114300" distT="114300" distL="114300" distR="114300">
                <wp:extent cx="1490663" cy="421064"/>
                <wp:effectExtent b="0" l="0" r="0" t="0"/>
                <wp:docPr id="1" name="image2.png"/>
                <a:graphic>
                  <a:graphicData uri="http://schemas.openxmlformats.org/drawingml/2006/picture">
                    <pic:pic>
                      <pic:nvPicPr>
                        <pic:cNvPr id="0" name="image2.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0">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1">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Am Wehrhahn 41</w:t>
          </w:r>
        </w:p>
        <w:p w:rsidR="00000000" w:rsidDel="00000000" w:rsidP="00000000" w:rsidRDefault="00000000" w:rsidRPr="00000000" w14:paraId="00000022">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D-40211 Düsseldorf</w:t>
          </w:r>
        </w:p>
        <w:p w:rsidR="00000000" w:rsidDel="00000000" w:rsidP="00000000" w:rsidRDefault="00000000" w:rsidRPr="00000000" w14:paraId="00000023">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24">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25">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26">
          <w:pPr>
            <w:widowControl w:val="0"/>
            <w:spacing w:line="240" w:lineRule="auto"/>
            <w:contextualSpacing w:val="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2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